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6B024499"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B94DD1">
              <w:rPr>
                <w:rFonts w:ascii="Calibri" w:hAnsi="Calibri" w:cs="Calibri"/>
                <w:b/>
                <w:bCs/>
                <w:color w:val="FFFFFF" w:themeColor="background1"/>
                <w:sz w:val="32"/>
                <w:szCs w:val="32"/>
              </w:rPr>
              <w:t>5 : Plâtrerie</w:t>
            </w:r>
            <w:r w:rsidR="00153EB5">
              <w:rPr>
                <w:rFonts w:ascii="Calibri" w:hAnsi="Calibri" w:cs="Calibri"/>
                <w:b/>
                <w:bCs/>
                <w:color w:val="FFFFFF" w:themeColor="background1"/>
                <w:sz w:val="32"/>
                <w:szCs w:val="32"/>
              </w:rPr>
              <w:t xml:space="preserve"> </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r w:rsidR="00F8554F">
              <w:rPr>
                <w:b/>
                <w:bCs/>
                <w:color w:val="FFFFFF"/>
                <w:sz w:val="32"/>
                <w:szCs w:val="32"/>
              </w:rPr>
              <w:t>Vandœuvre-les-Nancy</w:t>
            </w:r>
          </w:p>
          <w:p w14:paraId="79AA10D2" w14:textId="39A38ADE"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B94DD1">
              <w:rPr>
                <w:rFonts w:ascii="Calibri" w:hAnsi="Calibri" w:cs="Calibri"/>
                <w:b/>
                <w:bCs/>
                <w:color w:val="FFFFFF" w:themeColor="background1"/>
                <w:sz w:val="32"/>
                <w:szCs w:val="32"/>
              </w:rPr>
              <w:t>5</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268587C8"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PSE retenue(s) n°   </w:t>
            </w:r>
          </w:p>
          <w:p w14:paraId="6BB6DA45"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60E0885E"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20DC6F5E"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43A92E3C"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4C5F7968" w14:textId="77777777" w:rsidR="00C07D78" w:rsidRPr="00153EB5" w:rsidRDefault="00C07D78" w:rsidP="00C07D78">
            <w:pPr>
              <w:spacing w:after="120" w:line="240" w:lineRule="auto"/>
              <w:jc w:val="both"/>
              <w:rPr>
                <w:rFonts w:ascii="Calibri" w:eastAsia="Times New Roman" w:hAnsi="Calibri" w:cs="Calibri"/>
                <w:b/>
                <w:bCs/>
                <w:sz w:val="20"/>
                <w:szCs w:val="20"/>
                <w:lang w:eastAsia="fr-FR"/>
              </w:rPr>
            </w:pPr>
            <w:r w:rsidRPr="00153EB5">
              <w:rPr>
                <w:rFonts w:ascii="Calibri" w:eastAsia="Times New Roman" w:hAnsi="Calibri" w:cs="Calibri"/>
                <w:b/>
                <w:bCs/>
                <w:sz w:val="20"/>
                <w:szCs w:val="20"/>
                <w:lang w:eastAsia="fr-FR"/>
              </w:rPr>
              <w:t xml:space="preserve">Montant total - base + PSE retenue(s) n° </w:t>
            </w:r>
          </w:p>
          <w:p w14:paraId="05C15ACF"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65C56A60"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618EC109"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C906025"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09C5382C" w14:textId="77777777" w:rsidR="00C07D78" w:rsidRPr="00153EB5" w:rsidRDefault="00C07D78" w:rsidP="00C07D78">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7E545CA5"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p>
          <w:p w14:paraId="25626DB6" w14:textId="77DE823C" w:rsidR="00153EB5" w:rsidRPr="00153EB5" w:rsidRDefault="00153EB5" w:rsidP="00153EB5">
            <w:pPr>
              <w:tabs>
                <w:tab w:val="left" w:pos="4040"/>
              </w:tabs>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ab/>
            </w: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5C5EE7EF" w14:textId="77777777" w:rsidR="00DF41D2" w:rsidRDefault="00DF41D2" w:rsidP="00C07D78">
            <w:pPr>
              <w:keepLines/>
              <w:tabs>
                <w:tab w:val="left" w:pos="4240"/>
              </w:tabs>
              <w:spacing w:after="0" w:line="240" w:lineRule="auto"/>
              <w:ind w:right="141"/>
              <w:rPr>
                <w:rFonts w:ascii="Times New Roman" w:eastAsia="Times New Roman" w:hAnsi="Times New Roman" w:cs="Times New Roman"/>
                <w:sz w:val="24"/>
                <w:szCs w:val="20"/>
                <w:lang w:eastAsia="fr-FR"/>
              </w:rPr>
            </w:pPr>
          </w:p>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4F06D65E" w14:textId="340336F6" w:rsidR="00153FB4" w:rsidRDefault="00AD4380" w:rsidP="00AD4380">
      <w:pPr>
        <w:tabs>
          <w:tab w:val="left" w:pos="3120"/>
          <w:tab w:val="left" w:pos="3975"/>
        </w:tabs>
      </w:pPr>
      <w:r>
        <w:tab/>
      </w:r>
      <w:r>
        <w:tab/>
      </w:r>
    </w:p>
    <w:p w14:paraId="367E0CD3" w14:textId="77777777" w:rsidR="00153FB4" w:rsidRDefault="00153FB4" w:rsidP="00BD0C73">
      <w:pPr>
        <w:tabs>
          <w:tab w:val="left" w:pos="3120"/>
        </w:tabs>
      </w:pPr>
    </w:p>
    <w:p w14:paraId="14A74946" w14:textId="08D7BCED" w:rsidR="0085452C" w:rsidRDefault="00BD0C73" w:rsidP="00AD4380">
      <w:pPr>
        <w:tabs>
          <w:tab w:val="left" w:pos="2325"/>
          <w:tab w:val="left" w:pos="3120"/>
        </w:tabs>
      </w:pPr>
      <w:r>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r w:rsidR="00F8554F">
        <w:rPr>
          <w:rFonts w:cstheme="minorHAnsi"/>
          <w:b/>
          <w:bCs/>
          <w:sz w:val="24"/>
          <w:szCs w:val="24"/>
        </w:rPr>
        <w:t>Vandœuvre-les-Nancy</w:t>
      </w:r>
      <w:r w:rsidR="004F3923">
        <w:rPr>
          <w:rFonts w:cstheme="minorHAnsi"/>
          <w:b/>
          <w:bCs/>
          <w:sz w:val="24"/>
          <w:szCs w:val="24"/>
        </w:rPr>
        <w:t>.</w:t>
      </w:r>
      <w:r w:rsidR="00F64FAC">
        <w:rPr>
          <w:rFonts w:cstheme="minorHAnsi"/>
          <w:b/>
          <w:bCs/>
          <w:sz w:val="24"/>
          <w:szCs w:val="24"/>
        </w:rPr>
        <w:t xml:space="preserve">                                                        </w:t>
      </w:r>
    </w:p>
    <w:p w14:paraId="7097C96E" w14:textId="77E880F5" w:rsidR="00FC74DE" w:rsidRDefault="00F64FAC" w:rsidP="00F64FAC">
      <w:pPr>
        <w:spacing w:after="0"/>
        <w:jc w:val="both"/>
        <w:rPr>
          <w:rFonts w:cstheme="minorHAnsi"/>
          <w:b/>
          <w:bCs/>
          <w:sz w:val="24"/>
          <w:szCs w:val="24"/>
        </w:rPr>
      </w:pPr>
      <w:r>
        <w:rPr>
          <w:rFonts w:cstheme="minorHAnsi"/>
          <w:b/>
          <w:bCs/>
          <w:sz w:val="24"/>
          <w:szCs w:val="24"/>
        </w:rPr>
        <w:t xml:space="preserve">Lot </w:t>
      </w:r>
      <w:r w:rsidR="00B94DD1">
        <w:rPr>
          <w:rFonts w:cstheme="minorHAnsi"/>
          <w:b/>
          <w:bCs/>
          <w:sz w:val="24"/>
          <w:szCs w:val="24"/>
        </w:rPr>
        <w:t>5</w:t>
      </w:r>
      <w:r w:rsidR="00E9631E">
        <w:rPr>
          <w:rFonts w:cstheme="minorHAnsi"/>
          <w:b/>
          <w:bCs/>
          <w:sz w:val="24"/>
          <w:szCs w:val="24"/>
        </w:rPr>
        <w:t xml:space="preserve"> : </w:t>
      </w:r>
      <w:r w:rsidR="00B94DD1">
        <w:rPr>
          <w:rFonts w:cstheme="minorHAnsi"/>
          <w:b/>
          <w:bCs/>
          <w:sz w:val="24"/>
          <w:szCs w:val="24"/>
        </w:rPr>
        <w:t>Plâtrerie</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lastRenderedPageBreak/>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5F8D21A5" w14:textId="1BD92FC4" w:rsidR="005E5374" w:rsidRPr="00560EB3" w:rsidRDefault="005E5374" w:rsidP="005E5374">
      <w:pPr>
        <w:pStyle w:val="xmsonormal"/>
        <w:rPr>
          <w:rFonts w:ascii="Calibri" w:hAnsi="Calibri" w:cs="Calibri"/>
        </w:rPr>
      </w:pPr>
      <w:r w:rsidRPr="00E13887">
        <w:rPr>
          <w:rFonts w:ascii="Calibri" w:hAnsi="Calibri" w:cs="Calibri"/>
        </w:rPr>
        <w:t xml:space="preserve">PSE </w:t>
      </w:r>
    </w:p>
    <w:p w14:paraId="773E3563" w14:textId="77777777" w:rsidR="005E5374" w:rsidRPr="009B4544" w:rsidRDefault="005E5374" w:rsidP="005E5374">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28931542" w14:textId="4F629782" w:rsidR="005E5374" w:rsidRPr="009B4544" w:rsidRDefault="005E5374" w:rsidP="005E5374">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w:t>
      </w:r>
    </w:p>
    <w:p w14:paraId="2DA351A1" w14:textId="77777777" w:rsidR="005E5374" w:rsidRPr="009B4544" w:rsidRDefault="005E5374" w:rsidP="005E5374">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6D7F605B" w14:textId="77777777" w:rsidR="005E5374" w:rsidRDefault="005E5374" w:rsidP="005E5374">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081B438D" w14:textId="77777777" w:rsidR="005E5374" w:rsidRDefault="005E5374" w:rsidP="00962206">
      <w:pPr>
        <w:spacing w:after="0" w:line="240" w:lineRule="auto"/>
        <w:rPr>
          <w:rFonts w:ascii="Calibri" w:hAnsi="Calibri"/>
          <w:szCs w:val="24"/>
        </w:rPr>
      </w:pPr>
    </w:p>
    <w:p w14:paraId="032A6164" w14:textId="77777777" w:rsidR="00B21E9A" w:rsidRDefault="00B21E9A" w:rsidP="00962206">
      <w:pPr>
        <w:spacing w:after="0" w:line="240" w:lineRule="auto"/>
        <w:rPr>
          <w:rFonts w:ascii="Calibri" w:hAnsi="Calibri"/>
          <w:szCs w:val="24"/>
        </w:rPr>
      </w:pPr>
    </w:p>
    <w:p w14:paraId="6003AE67" w14:textId="77777777" w:rsidR="00E9631E" w:rsidRDefault="00E9631E" w:rsidP="00962206">
      <w:pPr>
        <w:spacing w:after="0" w:line="240" w:lineRule="auto"/>
        <w:rPr>
          <w:rFonts w:ascii="Calibri" w:hAnsi="Calibri"/>
          <w:szCs w:val="24"/>
        </w:rPr>
      </w:pPr>
    </w:p>
    <w:p w14:paraId="3470B403" w14:textId="77777777" w:rsidR="00B21E9A" w:rsidRDefault="00B21E9A" w:rsidP="00962206">
      <w:pPr>
        <w:spacing w:after="0" w:line="240" w:lineRule="auto"/>
        <w:rPr>
          <w:rFonts w:ascii="Calibri" w:hAnsi="Calibri"/>
          <w:szCs w:val="24"/>
        </w:rPr>
      </w:pPr>
    </w:p>
    <w:p w14:paraId="5D7BADA5" w14:textId="3580CFB8" w:rsidR="00E13887" w:rsidRPr="003F22FB" w:rsidRDefault="00E13887" w:rsidP="00E13887">
      <w:pPr>
        <w:spacing w:after="120" w:line="240" w:lineRule="auto"/>
        <w:jc w:val="both"/>
        <w:rPr>
          <w:rFonts w:ascii="Calibri" w:eastAsia="Times New Roman" w:hAnsi="Calibri" w:cs="Calibri"/>
          <w:b/>
          <w:bCs/>
          <w:lang w:eastAsia="fr-FR"/>
        </w:rPr>
      </w:pPr>
      <w:r w:rsidRPr="003F22FB">
        <w:rPr>
          <w:rFonts w:ascii="Calibri" w:eastAsia="Times New Roman" w:hAnsi="Calibri" w:cs="Calibri"/>
          <w:b/>
          <w:bCs/>
          <w:lang w:eastAsia="fr-FR"/>
        </w:rPr>
        <w:lastRenderedPageBreak/>
        <w:t xml:space="preserve">Montant total - base + PSE 1 </w:t>
      </w:r>
    </w:p>
    <w:p w14:paraId="6CC17818" w14:textId="6B0AE161" w:rsidR="00E13887" w:rsidRPr="003F22FB" w:rsidRDefault="00E13887" w:rsidP="00E1388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Montant HT en euros : </w:t>
      </w:r>
      <w:r>
        <w:rPr>
          <w:rFonts w:ascii="Calibri" w:eastAsia="Times New Roman" w:hAnsi="Calibri" w:cs="Calibri"/>
          <w:lang w:eastAsia="fr-FR"/>
        </w:rPr>
        <w:t>€</w:t>
      </w:r>
    </w:p>
    <w:p w14:paraId="552912CD" w14:textId="2BCCCE16" w:rsidR="00E13887" w:rsidRPr="003F22FB" w:rsidRDefault="00E13887" w:rsidP="00E1388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TVA  20 % :  €</w:t>
      </w:r>
    </w:p>
    <w:p w14:paraId="23C31379" w14:textId="1B7539B5" w:rsidR="00E13887" w:rsidRPr="003F22FB" w:rsidRDefault="00E13887" w:rsidP="00E1388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Montant TTC en euros : €</w:t>
      </w:r>
    </w:p>
    <w:p w14:paraId="0DCECA00" w14:textId="7B3384C8" w:rsidR="00E13887" w:rsidRPr="003F22FB" w:rsidRDefault="00E13887" w:rsidP="00E13887">
      <w:pPr>
        <w:numPr>
          <w:ilvl w:val="0"/>
          <w:numId w:val="1"/>
        </w:numPr>
        <w:spacing w:after="12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Soit montant TTC en lettres : </w:t>
      </w:r>
    </w:p>
    <w:p w14:paraId="749FA6B6" w14:textId="77777777" w:rsidR="005E5374" w:rsidRDefault="005E5374"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142DD169" w14:textId="77777777" w:rsidR="00E9631E" w:rsidRDefault="00E9631E" w:rsidP="002E5C60">
      <w:pPr>
        <w:jc w:val="both"/>
        <w:rPr>
          <w:rFonts w:ascii="Calibri" w:hAnsi="Calibri"/>
          <w:szCs w:val="24"/>
        </w:rPr>
      </w:pPr>
    </w:p>
    <w:p w14:paraId="4710D33E" w14:textId="77777777" w:rsidR="00E9631E" w:rsidRDefault="00E9631E" w:rsidP="002E5C60">
      <w:pPr>
        <w:jc w:val="both"/>
        <w:rPr>
          <w:rFonts w:ascii="Calibri" w:hAnsi="Calibri"/>
          <w:szCs w:val="24"/>
        </w:rPr>
      </w:pPr>
    </w:p>
    <w:p w14:paraId="2E514D79" w14:textId="77777777" w:rsidR="00E9631E" w:rsidRDefault="00E9631E" w:rsidP="002E5C60">
      <w:pPr>
        <w:jc w:val="both"/>
        <w:rPr>
          <w:rFonts w:ascii="Calibri" w:hAnsi="Calibri"/>
          <w:szCs w:val="24"/>
        </w:rPr>
      </w:pPr>
    </w:p>
    <w:p w14:paraId="253BFB75" w14:textId="32416FF6" w:rsidR="006F5F37" w:rsidRDefault="00364BAF" w:rsidP="006F5F37">
      <w:pPr>
        <w:pStyle w:val="Titre2"/>
        <w:rPr>
          <w:b/>
          <w:bCs/>
          <w:color w:val="0892AF"/>
        </w:rPr>
      </w:pPr>
      <w:bookmarkStart w:id="8"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3BD155CB" w14:textId="77777777" w:rsidR="00ED726F" w:rsidRDefault="00ED726F" w:rsidP="007D41A3">
      <w:pPr>
        <w:jc w:val="both"/>
        <w:rPr>
          <w:sz w:val="24"/>
          <w:szCs w:val="24"/>
        </w:rPr>
      </w:pPr>
    </w:p>
    <w:p w14:paraId="1A6BC2AE" w14:textId="77777777" w:rsidR="00E9631E" w:rsidRDefault="00E9631E" w:rsidP="007D41A3">
      <w:pPr>
        <w:jc w:val="both"/>
        <w:rPr>
          <w:sz w:val="24"/>
          <w:szCs w:val="24"/>
        </w:rPr>
      </w:pPr>
    </w:p>
    <w:p w14:paraId="603CC162" w14:textId="77777777" w:rsidR="00E9631E" w:rsidRDefault="00E9631E" w:rsidP="007D41A3">
      <w:pPr>
        <w:jc w:val="both"/>
        <w:rPr>
          <w:sz w:val="24"/>
          <w:szCs w:val="24"/>
        </w:rPr>
      </w:pPr>
    </w:p>
    <w:p w14:paraId="74E4205D" w14:textId="77777777" w:rsidR="00E9631E" w:rsidRDefault="00E9631E" w:rsidP="007D41A3">
      <w:pPr>
        <w:jc w:val="both"/>
        <w:rPr>
          <w:sz w:val="24"/>
          <w:szCs w:val="24"/>
        </w:rPr>
      </w:pPr>
    </w:p>
    <w:p w14:paraId="06918A51" w14:textId="77777777" w:rsidR="00E9631E" w:rsidRDefault="00E9631E" w:rsidP="007D41A3">
      <w:pPr>
        <w:jc w:val="both"/>
        <w:rPr>
          <w:sz w:val="24"/>
          <w:szCs w:val="24"/>
        </w:rPr>
      </w:pPr>
    </w:p>
    <w:p w14:paraId="36AFEA1B" w14:textId="77777777" w:rsidR="00E9631E" w:rsidRDefault="00E9631E" w:rsidP="007D41A3">
      <w:pPr>
        <w:jc w:val="both"/>
        <w:rPr>
          <w:sz w:val="24"/>
          <w:szCs w:val="24"/>
        </w:rPr>
      </w:pPr>
    </w:p>
    <w:p w14:paraId="5541FE57" w14:textId="77777777" w:rsidR="00E9631E" w:rsidRDefault="00E9631E" w:rsidP="007D41A3">
      <w:pPr>
        <w:jc w:val="both"/>
        <w:rPr>
          <w:sz w:val="24"/>
          <w:szCs w:val="24"/>
        </w:rPr>
      </w:pPr>
    </w:p>
    <w:p w14:paraId="7A989D86" w14:textId="77777777" w:rsidR="00E9631E" w:rsidRDefault="00E9631E" w:rsidP="007D41A3">
      <w:pPr>
        <w:jc w:val="both"/>
        <w:rPr>
          <w:sz w:val="24"/>
          <w:szCs w:val="24"/>
        </w:rPr>
      </w:pP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E83B7E3" w14:textId="42891F41" w:rsidR="006F5F37" w:rsidRDefault="006F5F37" w:rsidP="006F5F37">
      <w:pPr>
        <w:tabs>
          <w:tab w:val="right" w:pos="4962"/>
        </w:tabs>
        <w:ind w:left="426"/>
        <w:rPr>
          <w:rFonts w:ascii="Calibri" w:hAnsi="Calibri"/>
          <w:color w:val="000000"/>
          <w:sz w:val="24"/>
          <w:szCs w:val="24"/>
        </w:rPr>
      </w:pPr>
    </w:p>
    <w:p w14:paraId="041FEE66" w14:textId="77777777" w:rsidR="001D38A4" w:rsidRDefault="001D38A4" w:rsidP="006F5F37">
      <w:pPr>
        <w:tabs>
          <w:tab w:val="right" w:pos="4962"/>
        </w:tabs>
        <w:ind w:left="426"/>
        <w:rPr>
          <w:rFonts w:ascii="Calibri" w:hAnsi="Calibri"/>
          <w:color w:val="000000"/>
          <w:sz w:val="24"/>
          <w:szCs w:val="24"/>
        </w:rPr>
      </w:pP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AD077FE" w14:textId="77777777" w:rsidR="007D41A3" w:rsidRDefault="007D41A3" w:rsidP="006F5F37">
      <w:pPr>
        <w:rPr>
          <w:rFonts w:ascii="Calibri" w:hAnsi="Calibri"/>
        </w:rPr>
      </w:pPr>
    </w:p>
    <w:p w14:paraId="66CDE260" w14:textId="77777777" w:rsidR="00D94B81" w:rsidRDefault="00D94B81" w:rsidP="006F5F37">
      <w:pPr>
        <w:rPr>
          <w:rFonts w:ascii="Calibri" w:hAnsi="Calibri"/>
        </w:rPr>
      </w:pPr>
    </w:p>
    <w:p w14:paraId="5697A394" w14:textId="77777777" w:rsidR="00D94B81" w:rsidRDefault="00D94B81" w:rsidP="006F5F37">
      <w:pPr>
        <w:rPr>
          <w:rFonts w:ascii="Calibri" w:hAnsi="Calibri"/>
        </w:rPr>
      </w:pPr>
    </w:p>
    <w:p w14:paraId="3AA06BB3" w14:textId="77777777" w:rsidR="00D94B81" w:rsidRPr="000368F2" w:rsidRDefault="00D94B81"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Default="006F5F37" w:rsidP="00024A8C">
            <w:pPr>
              <w:rPr>
                <w:rFonts w:ascii="Calibri" w:hAnsi="Calibri"/>
                <w:szCs w:val="24"/>
              </w:rPr>
            </w:pPr>
          </w:p>
          <w:p w14:paraId="24A5B6C0" w14:textId="77777777" w:rsidR="001D38A4" w:rsidRDefault="001D38A4" w:rsidP="00024A8C">
            <w:pPr>
              <w:rPr>
                <w:rFonts w:ascii="Calibri" w:hAnsi="Calibri"/>
                <w:szCs w:val="24"/>
              </w:rPr>
            </w:pPr>
          </w:p>
          <w:p w14:paraId="08D87AC5" w14:textId="77777777" w:rsidR="001D38A4" w:rsidRPr="000368F2" w:rsidRDefault="001D38A4"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1256A2C8"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B94DD1">
      <w:rPr>
        <w:color w:val="0892AF"/>
      </w:rPr>
      <w:t>5</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B94DD1">
      <w:rPr>
        <w:color w:val="0892AF"/>
      </w:rPr>
      <w:t>5</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90ADD"/>
    <w:rsid w:val="00096ADB"/>
    <w:rsid w:val="000A6D2D"/>
    <w:rsid w:val="000C154E"/>
    <w:rsid w:val="000E7C11"/>
    <w:rsid w:val="000F73F1"/>
    <w:rsid w:val="00153EB5"/>
    <w:rsid w:val="00153FB4"/>
    <w:rsid w:val="001639C0"/>
    <w:rsid w:val="001B73DE"/>
    <w:rsid w:val="001C386C"/>
    <w:rsid w:val="001D38A4"/>
    <w:rsid w:val="001E07DA"/>
    <w:rsid w:val="00261B8E"/>
    <w:rsid w:val="00267C76"/>
    <w:rsid w:val="00276D13"/>
    <w:rsid w:val="0028128F"/>
    <w:rsid w:val="002E5C60"/>
    <w:rsid w:val="00312951"/>
    <w:rsid w:val="00316376"/>
    <w:rsid w:val="00316BAA"/>
    <w:rsid w:val="00364BAF"/>
    <w:rsid w:val="003745D4"/>
    <w:rsid w:val="00397D06"/>
    <w:rsid w:val="003B4FA1"/>
    <w:rsid w:val="0041144D"/>
    <w:rsid w:val="00453766"/>
    <w:rsid w:val="004711F6"/>
    <w:rsid w:val="004F3923"/>
    <w:rsid w:val="0050132C"/>
    <w:rsid w:val="00510492"/>
    <w:rsid w:val="0052526C"/>
    <w:rsid w:val="00533A8D"/>
    <w:rsid w:val="0054033B"/>
    <w:rsid w:val="00571196"/>
    <w:rsid w:val="00583297"/>
    <w:rsid w:val="005901FA"/>
    <w:rsid w:val="005C1A38"/>
    <w:rsid w:val="005E5374"/>
    <w:rsid w:val="00612331"/>
    <w:rsid w:val="00613F6C"/>
    <w:rsid w:val="00635D55"/>
    <w:rsid w:val="006548F7"/>
    <w:rsid w:val="006A5903"/>
    <w:rsid w:val="006D214D"/>
    <w:rsid w:val="006E2C89"/>
    <w:rsid w:val="006F5F37"/>
    <w:rsid w:val="007000A7"/>
    <w:rsid w:val="007149DC"/>
    <w:rsid w:val="0073279C"/>
    <w:rsid w:val="007511F1"/>
    <w:rsid w:val="007602F4"/>
    <w:rsid w:val="007B165D"/>
    <w:rsid w:val="007D41A3"/>
    <w:rsid w:val="007E59BA"/>
    <w:rsid w:val="0085452C"/>
    <w:rsid w:val="0086312E"/>
    <w:rsid w:val="00887D35"/>
    <w:rsid w:val="008D0400"/>
    <w:rsid w:val="009152A0"/>
    <w:rsid w:val="00962206"/>
    <w:rsid w:val="00992C86"/>
    <w:rsid w:val="009A7D79"/>
    <w:rsid w:val="009B4544"/>
    <w:rsid w:val="009B45A7"/>
    <w:rsid w:val="009C0577"/>
    <w:rsid w:val="009F3726"/>
    <w:rsid w:val="00A433E5"/>
    <w:rsid w:val="00A97D03"/>
    <w:rsid w:val="00AB58D4"/>
    <w:rsid w:val="00AC0DD2"/>
    <w:rsid w:val="00AD4380"/>
    <w:rsid w:val="00AE59A0"/>
    <w:rsid w:val="00B0575A"/>
    <w:rsid w:val="00B07A7F"/>
    <w:rsid w:val="00B15B99"/>
    <w:rsid w:val="00B21E9A"/>
    <w:rsid w:val="00B26F27"/>
    <w:rsid w:val="00B64227"/>
    <w:rsid w:val="00B94DD1"/>
    <w:rsid w:val="00BD0503"/>
    <w:rsid w:val="00BD0C73"/>
    <w:rsid w:val="00C07D78"/>
    <w:rsid w:val="00C356A8"/>
    <w:rsid w:val="00CA77B2"/>
    <w:rsid w:val="00CF63B6"/>
    <w:rsid w:val="00D16E62"/>
    <w:rsid w:val="00D45405"/>
    <w:rsid w:val="00D53AA8"/>
    <w:rsid w:val="00D72440"/>
    <w:rsid w:val="00D94B81"/>
    <w:rsid w:val="00DA77F5"/>
    <w:rsid w:val="00DB7B5E"/>
    <w:rsid w:val="00DC5020"/>
    <w:rsid w:val="00DD0F01"/>
    <w:rsid w:val="00DF41D2"/>
    <w:rsid w:val="00E01C27"/>
    <w:rsid w:val="00E02878"/>
    <w:rsid w:val="00E032AB"/>
    <w:rsid w:val="00E05D51"/>
    <w:rsid w:val="00E13887"/>
    <w:rsid w:val="00E17CE2"/>
    <w:rsid w:val="00E43425"/>
    <w:rsid w:val="00E7039E"/>
    <w:rsid w:val="00E928E9"/>
    <w:rsid w:val="00E9631E"/>
    <w:rsid w:val="00ED726F"/>
    <w:rsid w:val="00EF1226"/>
    <w:rsid w:val="00F076E3"/>
    <w:rsid w:val="00F64FAC"/>
    <w:rsid w:val="00F8554F"/>
    <w:rsid w:val="00F878D1"/>
    <w:rsid w:val="00F878FD"/>
    <w:rsid w:val="00FC74DE"/>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2114</Words>
  <Characters>11633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21</cp:revision>
  <cp:lastPrinted>2020-09-14T13:24:00Z</cp:lastPrinted>
  <dcterms:created xsi:type="dcterms:W3CDTF">2025-11-18T13:50:00Z</dcterms:created>
  <dcterms:modified xsi:type="dcterms:W3CDTF">2025-11-24T15:43:00Z</dcterms:modified>
</cp:coreProperties>
</file>